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Garamond" w:hAnsi="Garamond" w:cs="Aharoni"/>
          <w:b/>
          <w:sz w:val="44"/>
          <w:szCs w:val="44"/>
        </w:rPr>
      </w:pPr>
      <w:r>
        <w:rPr>
          <w:rFonts w:ascii="Garamond" w:hAnsi="Garamond" w:cs="Aharoni"/>
          <w:b/>
          <w:sz w:val="44"/>
          <w:szCs w:val="44"/>
        </w:rPr>
        <w:t>Special Meeting</w:t>
      </w:r>
    </w:p>
    <w:p>
      <w:pPr>
        <w:jc w:val="center"/>
        <w:rPr>
          <w:rFonts w:ascii="Garamond" w:hAnsi="Garamond" w:cs="Aharoni"/>
          <w:b/>
          <w:sz w:val="44"/>
          <w:szCs w:val="44"/>
        </w:rPr>
      </w:pPr>
      <w:r>
        <w:rPr>
          <w:rFonts w:ascii="Garamond" w:hAnsi="Garamond" w:cs="Aharoni"/>
          <w:b/>
          <w:sz w:val="44"/>
          <w:szCs w:val="44"/>
        </w:rPr>
        <w:t xml:space="preserve"> Town Council</w:t>
      </w:r>
    </w:p>
    <w:p>
      <w:pPr>
        <w:jc w:val="center"/>
        <w:rPr>
          <w:rFonts w:ascii="Garamond" w:hAnsi="Garamond" w:cs="Aharoni"/>
          <w:b/>
          <w:sz w:val="42"/>
          <w:szCs w:val="42"/>
        </w:rPr>
      </w:pPr>
      <w:r>
        <w:rPr>
          <w:rFonts w:ascii="Garamond" w:hAnsi="Garamond" w:cs="Aharoni"/>
          <w:b/>
          <w:sz w:val="42"/>
          <w:szCs w:val="42"/>
        </w:rPr>
        <w:t>Architectural Review Board</w:t>
      </w:r>
    </w:p>
    <w:p>
      <w:pPr>
        <w:jc w:val="center"/>
        <w:rPr>
          <w:rFonts w:ascii="Garamond" w:hAnsi="Garamond" w:cs="Aharoni"/>
          <w:b/>
          <w:sz w:val="44"/>
          <w:szCs w:val="44"/>
        </w:rPr>
      </w:pPr>
      <w:r>
        <w:rPr>
          <w:rFonts w:ascii="Garamond" w:hAnsi="Garamond" w:cs="Aharoni"/>
          <w:b/>
          <w:sz w:val="42"/>
          <w:szCs w:val="42"/>
        </w:rPr>
        <w:t>Planning Board</w:t>
      </w:r>
    </w:p>
    <w:p>
      <w:pPr>
        <w:jc w:val="center"/>
        <w:rPr>
          <w:rFonts w:ascii="Garamond" w:hAnsi="Garamond" w:cs="Aharoni"/>
          <w:b/>
          <w:sz w:val="44"/>
          <w:szCs w:val="44"/>
        </w:rPr>
      </w:pPr>
      <w:r>
        <w:rPr>
          <w:rFonts w:ascii="Garamond" w:hAnsi="Garamond" w:cs="Aharoni"/>
          <w:b/>
          <w:sz w:val="44"/>
          <w:szCs w:val="44"/>
        </w:rPr>
        <w:t>Town Council Chambers</w:t>
      </w:r>
    </w:p>
    <w:p>
      <w:pPr>
        <w:jc w:val="center"/>
        <w:rPr>
          <w:rFonts w:ascii="Garamond" w:hAnsi="Garamond" w:cs="Aharoni"/>
          <w:b/>
          <w:sz w:val="32"/>
          <w:szCs w:val="32"/>
        </w:rPr>
      </w:pPr>
      <w:r>
        <w:rPr>
          <w:rFonts w:ascii="Garamond" w:hAnsi="Garamond" w:cs="Aharoni"/>
          <w:b/>
          <w:sz w:val="32"/>
          <w:szCs w:val="32"/>
        </w:rPr>
        <w:t xml:space="preserve">3577 South Ocean Blvd. </w:t>
      </w:r>
    </w:p>
    <w:p>
      <w:pPr>
        <w:jc w:val="center"/>
        <w:rPr>
          <w:rFonts w:ascii="Garamond" w:hAnsi="Garamond" w:cs="Aharoni"/>
          <w:b/>
          <w:sz w:val="32"/>
          <w:szCs w:val="32"/>
        </w:rPr>
      </w:pPr>
      <w:r>
        <w:rPr>
          <w:rFonts w:ascii="Garamond" w:hAnsi="Garamond" w:cs="Aharoni"/>
          <w:b/>
          <w:sz w:val="32"/>
          <w:szCs w:val="32"/>
        </w:rPr>
        <w:t>South Palm Beach, Florida 33480</w:t>
      </w:r>
    </w:p>
    <w:p>
      <w:pPr>
        <w:jc w:val="center"/>
        <w:rPr>
          <w:rFonts w:ascii="Garamond" w:hAnsi="Garamond" w:cs="Aharoni"/>
          <w:b/>
          <w:sz w:val="32"/>
          <w:szCs w:val="32"/>
        </w:rPr>
      </w:pPr>
      <w:r>
        <w:rPr>
          <w:rFonts w:ascii="Garamond" w:hAnsi="Garamond" w:cs="Aharoni"/>
          <w:b/>
          <w:sz w:val="32"/>
          <w:szCs w:val="32"/>
        </w:rPr>
        <w:t xml:space="preserve">2/24/2015 </w:t>
      </w:r>
    </w:p>
    <w:p>
      <w:pPr>
        <w:jc w:val="center"/>
        <w:rPr>
          <w:rFonts w:ascii="Garamond" w:hAnsi="Garamond" w:cs="Aharoni"/>
          <w:b/>
          <w:sz w:val="32"/>
          <w:szCs w:val="32"/>
        </w:rPr>
      </w:pPr>
      <w:r>
        <w:rPr>
          <w:rFonts w:ascii="Garamond" w:hAnsi="Garamond" w:cs="Aharoni"/>
          <w:b/>
          <w:sz w:val="32"/>
          <w:szCs w:val="32"/>
        </w:rPr>
        <w:t>7pm</w:t>
      </w:r>
    </w:p>
    <w:p>
      <w:pPr>
        <w:jc w:val="center"/>
        <w:rPr>
          <w:rFonts w:ascii="Garamond" w:hAnsi="Garamond" w:cs="Aharoni"/>
          <w:b/>
          <w:sz w:val="32"/>
          <w:szCs w:val="32"/>
        </w:rPr>
      </w:pPr>
    </w:p>
    <w:p>
      <w:pPr>
        <w:jc w:val="center"/>
        <w:rPr>
          <w:rFonts w:ascii="Garamond" w:hAnsi="Garamond"/>
          <w:b/>
        </w:rPr>
      </w:pPr>
    </w:p>
    <w:p>
      <w:pPr>
        <w:pStyle w:val="ListParagraph"/>
        <w:numPr>
          <w:ilvl w:val="0"/>
          <w:numId w:val="1"/>
        </w:numPr>
        <w:rPr>
          <w:rFonts w:ascii="Garamond" w:hAnsi="Garamond"/>
          <w:b/>
          <w:sz w:val="28"/>
          <w:szCs w:val="28"/>
        </w:rPr>
      </w:pPr>
      <w:r>
        <w:rPr>
          <w:rFonts w:ascii="Garamond" w:hAnsi="Garamond"/>
          <w:b/>
          <w:sz w:val="28"/>
          <w:szCs w:val="28"/>
        </w:rPr>
        <w:t xml:space="preserve">Roll Call </w:t>
      </w:r>
    </w:p>
    <w:p>
      <w:pPr>
        <w:pStyle w:val="ListParagraph"/>
        <w:numPr>
          <w:ilvl w:val="0"/>
          <w:numId w:val="1"/>
        </w:numPr>
        <w:rPr>
          <w:rFonts w:ascii="Garamond" w:hAnsi="Garamond"/>
          <w:b/>
          <w:sz w:val="28"/>
          <w:szCs w:val="28"/>
        </w:rPr>
      </w:pPr>
      <w:r>
        <w:rPr>
          <w:rFonts w:ascii="Garamond" w:hAnsi="Garamond"/>
          <w:b/>
          <w:sz w:val="28"/>
          <w:szCs w:val="28"/>
        </w:rPr>
        <w:t>Pledge of Allegiance</w:t>
      </w:r>
    </w:p>
    <w:p>
      <w:pPr>
        <w:pStyle w:val="ListParagraph"/>
        <w:numPr>
          <w:ilvl w:val="0"/>
          <w:numId w:val="1"/>
        </w:numPr>
        <w:rPr>
          <w:rFonts w:ascii="Garamond" w:hAnsi="Garamond"/>
          <w:b/>
          <w:sz w:val="28"/>
          <w:szCs w:val="28"/>
        </w:rPr>
      </w:pPr>
      <w:r>
        <w:rPr>
          <w:rFonts w:ascii="Garamond" w:hAnsi="Garamond"/>
          <w:b/>
          <w:sz w:val="28"/>
          <w:szCs w:val="28"/>
        </w:rPr>
        <w:t>Decorum Statement</w:t>
      </w:r>
    </w:p>
    <w:p>
      <w:pPr>
        <w:pStyle w:val="ListParagraph"/>
        <w:numPr>
          <w:ilvl w:val="0"/>
          <w:numId w:val="1"/>
        </w:numPr>
        <w:rPr>
          <w:rFonts w:ascii="Garamond" w:hAnsi="Garamond"/>
          <w:b/>
          <w:sz w:val="28"/>
          <w:szCs w:val="28"/>
        </w:rPr>
      </w:pPr>
      <w:r>
        <w:rPr>
          <w:rFonts w:ascii="Garamond" w:hAnsi="Garamond"/>
          <w:b/>
          <w:sz w:val="28"/>
          <w:szCs w:val="28"/>
        </w:rPr>
        <w:t>Approval of agenda</w:t>
      </w:r>
    </w:p>
    <w:p>
      <w:pPr>
        <w:pStyle w:val="ListParagraph"/>
        <w:numPr>
          <w:ilvl w:val="0"/>
          <w:numId w:val="1"/>
        </w:numPr>
        <w:rPr>
          <w:rFonts w:ascii="Garamond" w:hAnsi="Garamond"/>
          <w:b/>
          <w:sz w:val="28"/>
          <w:szCs w:val="28"/>
        </w:rPr>
      </w:pPr>
      <w:r>
        <w:rPr>
          <w:rFonts w:ascii="Garamond" w:hAnsi="Garamond"/>
          <w:b/>
          <w:sz w:val="28"/>
          <w:szCs w:val="28"/>
        </w:rPr>
        <w:t>Discussion regarding Ordinance No. 279 and 280</w:t>
      </w:r>
    </w:p>
    <w:p>
      <w:pPr>
        <w:pStyle w:val="ListParagraph"/>
        <w:ind w:left="630"/>
        <w:rPr>
          <w:rFonts w:ascii="Garamond" w:hAnsi="Garamond"/>
          <w:b/>
          <w:sz w:val="28"/>
          <w:szCs w:val="28"/>
        </w:rPr>
      </w:pPr>
    </w:p>
    <w:p>
      <w:pPr>
        <w:pStyle w:val="ListParagraph"/>
        <w:numPr>
          <w:ilvl w:val="0"/>
          <w:numId w:val="5"/>
        </w:numPr>
        <w:overflowPunct w:val="0"/>
        <w:autoSpaceDE w:val="0"/>
        <w:autoSpaceDN w:val="0"/>
        <w:adjustRightInd w:val="0"/>
        <w:contextualSpacing w:val="0"/>
        <w:jc w:val="both"/>
        <w:textAlignment w:val="baseline"/>
        <w:rPr>
          <w:rFonts w:ascii="Garamond" w:hAnsi="Garamond"/>
          <w:b/>
          <w:sz w:val="28"/>
          <w:szCs w:val="28"/>
        </w:rPr>
      </w:pPr>
      <w:r>
        <w:rPr>
          <w:rFonts w:ascii="Garamond" w:hAnsi="Garamond"/>
          <w:b/>
          <w:u w:val="single"/>
        </w:rPr>
        <w:t>ORDINANCE # 279/FIRST READING</w:t>
      </w:r>
      <w:r>
        <w:rPr>
          <w:rFonts w:ascii="Garamond" w:hAnsi="Garamond"/>
          <w:b/>
        </w:rPr>
        <w:t xml:space="preserve">: </w:t>
      </w:r>
      <w:r>
        <w:rPr>
          <w:rFonts w:ascii="Garamond" w:hAnsi="Garamond"/>
          <w:sz w:val="28"/>
          <w:szCs w:val="28"/>
        </w:rPr>
        <w:t>At sections 2-92., 2-94 and 2-95.  Found at Division 2. Architectural Review Board of Article IV. Boards, Committee</w:t>
      </w:r>
      <w:bookmarkStart w:id="0" w:name="_GoBack"/>
      <w:bookmarkEnd w:id="0"/>
      <w:r>
        <w:rPr>
          <w:rFonts w:ascii="Garamond" w:hAnsi="Garamond"/>
          <w:sz w:val="28"/>
          <w:szCs w:val="28"/>
        </w:rPr>
        <w:t>s and Commissions by repealing these sections and readopting them to provide for new regulations and new procedures for the approval of an application for site development; providing conflicts clause, a severability clause and authority to codify.</w:t>
      </w:r>
      <w:r>
        <w:rPr>
          <w:rFonts w:ascii="Garamond" w:hAnsi="Garamond"/>
          <w:b/>
          <w:sz w:val="28"/>
          <w:szCs w:val="28"/>
        </w:rPr>
        <w:t xml:space="preserve"> </w:t>
      </w:r>
    </w:p>
    <w:p>
      <w:pPr>
        <w:pStyle w:val="ListParagraph"/>
        <w:overflowPunct w:val="0"/>
        <w:autoSpaceDE w:val="0"/>
        <w:autoSpaceDN w:val="0"/>
        <w:adjustRightInd w:val="0"/>
        <w:ind w:left="1440"/>
        <w:contextualSpacing w:val="0"/>
        <w:jc w:val="both"/>
        <w:textAlignment w:val="baseline"/>
        <w:rPr>
          <w:rFonts w:ascii="Garamond" w:hAnsi="Garamond"/>
          <w:b/>
          <w:sz w:val="28"/>
          <w:szCs w:val="28"/>
        </w:rPr>
      </w:pPr>
    </w:p>
    <w:p>
      <w:pPr>
        <w:pStyle w:val="ListParagraph"/>
        <w:numPr>
          <w:ilvl w:val="0"/>
          <w:numId w:val="5"/>
        </w:numPr>
        <w:overflowPunct w:val="0"/>
        <w:autoSpaceDE w:val="0"/>
        <w:autoSpaceDN w:val="0"/>
        <w:adjustRightInd w:val="0"/>
        <w:contextualSpacing w:val="0"/>
        <w:jc w:val="both"/>
        <w:textAlignment w:val="baseline"/>
        <w:rPr>
          <w:rFonts w:ascii="Garamond" w:hAnsi="Garamond"/>
          <w:sz w:val="28"/>
          <w:szCs w:val="28"/>
          <w:u w:val="single"/>
        </w:rPr>
      </w:pPr>
      <w:r>
        <w:rPr>
          <w:rFonts w:ascii="Garamond" w:hAnsi="Garamond"/>
          <w:b/>
          <w:u w:val="single"/>
        </w:rPr>
        <w:t>ORDINANCE # 280/FIRST READING</w:t>
      </w:r>
      <w:r>
        <w:rPr>
          <w:rFonts w:ascii="Garamond" w:hAnsi="Garamond"/>
          <w:b/>
        </w:rPr>
        <w:t xml:space="preserve">: </w:t>
      </w:r>
      <w:r>
        <w:rPr>
          <w:rFonts w:ascii="Garamond" w:hAnsi="Garamond"/>
          <w:sz w:val="28"/>
          <w:szCs w:val="28"/>
        </w:rPr>
        <w:t xml:space="preserve">At sections 2-154., 2-155., 2-156., 2-158., and 2-160.  Found at Division 4. Planning Board, Local Planning Agency of Article IV Boards, Committees and Commissions, by repealing these sections and readopting them to provide for new regulations and new procedures for the approval of an application for variance from the terms of the zoning code; providing a conflicts clause, a severability clause and authority to codify.  </w:t>
      </w:r>
    </w:p>
    <w:p>
      <w:pPr>
        <w:pStyle w:val="ListParagraph"/>
        <w:overflowPunct w:val="0"/>
        <w:autoSpaceDE w:val="0"/>
        <w:autoSpaceDN w:val="0"/>
        <w:adjustRightInd w:val="0"/>
        <w:ind w:left="1440"/>
        <w:contextualSpacing w:val="0"/>
        <w:jc w:val="both"/>
        <w:textAlignment w:val="baseline"/>
        <w:rPr>
          <w:rFonts w:ascii="Garamond" w:hAnsi="Garamond"/>
          <w:sz w:val="28"/>
          <w:szCs w:val="28"/>
          <w:u w:val="single"/>
        </w:rPr>
      </w:pPr>
    </w:p>
    <w:p>
      <w:pPr>
        <w:pStyle w:val="ListParagraph"/>
        <w:numPr>
          <w:ilvl w:val="0"/>
          <w:numId w:val="1"/>
        </w:numPr>
        <w:rPr>
          <w:rFonts w:ascii="Garamond" w:hAnsi="Garamond"/>
          <w:b/>
          <w:sz w:val="28"/>
          <w:szCs w:val="28"/>
        </w:rPr>
      </w:pPr>
      <w:r>
        <w:rPr>
          <w:rFonts w:ascii="Garamond" w:hAnsi="Garamond"/>
          <w:b/>
          <w:sz w:val="28"/>
          <w:szCs w:val="28"/>
        </w:rPr>
        <w:t>Public comments</w:t>
      </w:r>
    </w:p>
    <w:p>
      <w:pPr>
        <w:pStyle w:val="ListParagraph"/>
        <w:ind w:left="630"/>
        <w:rPr>
          <w:rFonts w:ascii="Garamond" w:hAnsi="Garamond"/>
          <w:b/>
          <w:sz w:val="28"/>
          <w:szCs w:val="28"/>
        </w:rPr>
      </w:pPr>
    </w:p>
    <w:p>
      <w:pPr>
        <w:pStyle w:val="ListParagraph"/>
        <w:numPr>
          <w:ilvl w:val="0"/>
          <w:numId w:val="1"/>
        </w:numPr>
        <w:rPr>
          <w:rFonts w:ascii="Garamond" w:hAnsi="Garamond"/>
          <w:b/>
          <w:sz w:val="28"/>
          <w:szCs w:val="28"/>
        </w:rPr>
      </w:pPr>
      <w:r>
        <w:rPr>
          <w:rFonts w:ascii="Garamond" w:hAnsi="Garamond"/>
          <w:b/>
          <w:sz w:val="28"/>
          <w:szCs w:val="28"/>
        </w:rPr>
        <w:t>Adjournment</w:t>
      </w:r>
    </w:p>
    <w:p>
      <w:pPr>
        <w:rPr>
          <w:rFonts w:ascii="Garamond" w:hAnsi="Garamond"/>
          <w:b/>
          <w:sz w:val="28"/>
          <w:szCs w:val="28"/>
        </w:rPr>
      </w:pPr>
    </w:p>
    <w:p>
      <w:pPr>
        <w:rPr>
          <w:rFonts w:ascii="Garamond" w:hAnsi="Garamond"/>
          <w:b/>
          <w:sz w:val="28"/>
          <w:szCs w:val="28"/>
        </w:rPr>
      </w:pPr>
    </w:p>
    <w:p>
      <w:pPr>
        <w:jc w:val="both"/>
        <w:rPr>
          <w:rFonts w:ascii="Garamond" w:hAnsi="Garamond"/>
          <w:b/>
        </w:rPr>
      </w:pPr>
    </w:p>
    <w:p>
      <w:pPr>
        <w:jc w:val="both"/>
        <w:rPr>
          <w:rFonts w:ascii="Garamond" w:hAnsi="Garamond"/>
          <w:b/>
        </w:rPr>
      </w:pPr>
      <w:r>
        <w:rPr>
          <w:rFonts w:ascii="Garamond" w:hAnsi="Garamond"/>
          <w:b/>
        </w:rPr>
        <w:t xml:space="preserve">If a person decides to appeal any decision made by the board, agency or commission with respect to any matter considered at such meeting or hearing, he or she will need a record of the proceedings, and that, for such purpose, he or she may need to ensure that a verbatim record of the proceedings is made, which record includes the testimony and evidence upon which the appeal is to be based. (F.S. 286.0105).  </w:t>
      </w:r>
    </w:p>
    <w:p>
      <w:pPr>
        <w:jc w:val="both"/>
        <w:rPr>
          <w:rFonts w:ascii="Garamond" w:hAnsi="Garamond"/>
          <w:b/>
        </w:rPr>
      </w:pPr>
    </w:p>
    <w:p>
      <w:pPr>
        <w:jc w:val="both"/>
        <w:rPr>
          <w:rFonts w:ascii="Garamond" w:hAnsi="Garamond"/>
        </w:rPr>
      </w:pPr>
      <w:r>
        <w:rPr>
          <w:rFonts w:ascii="Garamond" w:hAnsi="Garamond"/>
          <w:b/>
        </w:rPr>
        <w:t>Persons who need an accommodation in order to participate in this meeting should contact Town Hall at (561) 588-8889 at least 3 business days prior to the meeting so we can provide reasonable accommodations</w:t>
      </w:r>
      <w:r>
        <w:rPr>
          <w:rFonts w:ascii="Garamond" w:hAnsi="Garamond"/>
        </w:rPr>
        <w:t>.</w:t>
      </w:r>
    </w:p>
    <w:sectPr>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124F"/>
    <w:multiLevelType w:val="hybridMultilevel"/>
    <w:tmpl w:val="EA94C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D6585B"/>
    <w:multiLevelType w:val="hybridMultilevel"/>
    <w:tmpl w:val="D36A1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8E3EB3"/>
    <w:multiLevelType w:val="hybridMultilevel"/>
    <w:tmpl w:val="4BF09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2F2BCA"/>
    <w:multiLevelType w:val="hybridMultilevel"/>
    <w:tmpl w:val="23C6C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5E2778"/>
    <w:multiLevelType w:val="hybridMultilevel"/>
    <w:tmpl w:val="33FC9AB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2E4955D-5897-4BDD-B428-C8E8DA0D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Township of Princeton</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Alvarez</dc:creator>
  <cp:keywords/>
  <cp:lastModifiedBy>Yudy Alvarez</cp:lastModifiedBy>
  <cp:revision>3</cp:revision>
  <cp:lastPrinted>2015-02-18T16:57:00Z</cp:lastPrinted>
  <dcterms:created xsi:type="dcterms:W3CDTF">2015-02-19T13:32:00Z</dcterms:created>
  <dcterms:modified xsi:type="dcterms:W3CDTF">2015-02-24T20:32:00Z</dcterms:modified>
</cp:coreProperties>
</file>